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27.10.2021 N 1844</w:t>
              <w:br/>
              <w:t xml:space="preserve">(ред. от 30.04.2022)</w:t>
              <w:br/>
              <w:t xml:space="preserve">"Об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октября 2021 г. N 1844</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РАЗРАБОТКЕ, СОДЕРЖАНИЮ, ОБЩЕСТВЕННОМУ ОБСУЖДЕНИЮ</w:t>
      </w:r>
    </w:p>
    <w:p>
      <w:pPr>
        <w:pStyle w:val="2"/>
        <w:jc w:val="center"/>
      </w:pPr>
      <w:r>
        <w:rPr>
          <w:sz w:val="20"/>
        </w:rPr>
        <w:t xml:space="preserve">ПРОЕКТОВ ФОРМ ПРОВЕРОЧНЫХ ЛИСТОВ, УТВЕРЖДЕНИЮ, ПРИМЕНЕНИЮ,</w:t>
      </w:r>
    </w:p>
    <w:p>
      <w:pPr>
        <w:pStyle w:val="2"/>
        <w:jc w:val="center"/>
      </w:pPr>
      <w:r>
        <w:rPr>
          <w:sz w:val="20"/>
        </w:rPr>
        <w:t xml:space="preserve">АКТУАЛИЗАЦИИ ФОРМ ПРОВЕРОЧНЫХ ЛИСТОВ, А ТАКЖЕ СЛУЧАЕВ</w:t>
      </w:r>
    </w:p>
    <w:p>
      <w:pPr>
        <w:pStyle w:val="2"/>
        <w:jc w:val="center"/>
      </w:pPr>
      <w:r>
        <w:rPr>
          <w:sz w:val="20"/>
        </w:rPr>
        <w:t xml:space="preserve">ОБЯЗАТЕЛЬНОГО ПРИМЕНЕНИЯ ПРОВЕРОЧНЫХ ЛИСТОВ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2 статьи 53</w:t>
        </w:r>
      </w:hyperlink>
      <w:r>
        <w:rPr>
          <w:sz w:val="20"/>
        </w:rP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1" w:tooltip="ТРЕБОВАНИЯ">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pPr>
        <w:pStyle w:val="0"/>
        <w:spacing w:before="200" w:line-rule="auto"/>
        <w:ind w:firstLine="540"/>
        <w:jc w:val="both"/>
      </w:pPr>
      <w:r>
        <w:rPr>
          <w:sz w:val="20"/>
        </w:rPr>
        <w:t xml:space="preserve">2. Настоящее постановление вступает в силу с 1 марта 2022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октября 2021 г. N 1844</w:t>
      </w:r>
    </w:p>
    <w:p>
      <w:pPr>
        <w:pStyle w:val="0"/>
        <w:ind w:firstLine="540"/>
        <w:jc w:val="both"/>
      </w:pPr>
      <w:r>
        <w:rPr>
          <w:sz w:val="20"/>
        </w:rPr>
      </w:r>
    </w:p>
    <w:bookmarkStart w:id="31" w:name="P31"/>
    <w:bookmarkEnd w:id="31"/>
    <w:p>
      <w:pPr>
        <w:pStyle w:val="2"/>
        <w:jc w:val="center"/>
      </w:pPr>
      <w:r>
        <w:rPr>
          <w:sz w:val="20"/>
        </w:rPr>
        <w:t xml:space="preserve">ТРЕБОВАНИЯ</w:t>
      </w:r>
    </w:p>
    <w:p>
      <w:pPr>
        <w:pStyle w:val="2"/>
        <w:jc w:val="center"/>
      </w:pPr>
      <w:r>
        <w:rPr>
          <w:sz w:val="20"/>
        </w:rPr>
        <w:t xml:space="preserve">К РАЗРАБОТКЕ, СОДЕРЖАНИЮ, ОБЩЕСТВЕННОМУ ОБСУЖДЕНИЮ</w:t>
      </w:r>
    </w:p>
    <w:p>
      <w:pPr>
        <w:pStyle w:val="2"/>
        <w:jc w:val="center"/>
      </w:pPr>
      <w:r>
        <w:rPr>
          <w:sz w:val="20"/>
        </w:rPr>
        <w:t xml:space="preserve">ПРОЕКТОВ ФОРМ ПРОВЕРОЧНЫХ ЛИСТОВ, УТВЕРЖДЕНИЮ, ПРИМЕНЕНИЮ,</w:t>
      </w:r>
    </w:p>
    <w:p>
      <w:pPr>
        <w:pStyle w:val="2"/>
        <w:jc w:val="center"/>
      </w:pPr>
      <w:r>
        <w:rPr>
          <w:sz w:val="20"/>
        </w:rPr>
        <w:t xml:space="preserve">АКТУАЛИЗАЦИИ ФОРМ ПРОВЕРОЧНЫХ ЛИСТОВ, А ТАКЖЕ СЛУЧАИ</w:t>
      </w:r>
    </w:p>
    <w:p>
      <w:pPr>
        <w:pStyle w:val="2"/>
        <w:jc w:val="center"/>
      </w:pPr>
      <w:r>
        <w:rPr>
          <w:sz w:val="20"/>
        </w:rPr>
        <w:t xml:space="preserve">ОБЯЗАТЕЛЬНОГО ПРИМЕНЕНИЯ ПРОВЕРОЧНЫХ ЛИСТОВ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pPr>
        <w:pStyle w:val="0"/>
        <w:spacing w:before="200" w:line-rule="auto"/>
        <w:ind w:firstLine="540"/>
        <w:jc w:val="both"/>
      </w:pPr>
      <w:r>
        <w:rPr>
          <w:sz w:val="20"/>
        </w:rPr>
        <w:t xml:space="preserve">2. Термины и определения, используемые в настоящем документе, применяются в значениях, установленных Федеральным </w:t>
      </w:r>
      <w:hyperlink w:history="0" r:id="rId1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3. </w:t>
      </w:r>
      <w:hyperlink w:history="0" r:id="rId11" w:tooltip="Справочная информация: &quot;Формы проверочных листов (списков контрольных вопросов)&quot; (Материал подготовлен специалистами КонсультантПлюс) {КонсультантПлюс}">
        <w:r>
          <w:rPr>
            <w:sz w:val="20"/>
            <w:color w:val="0000ff"/>
          </w:rPr>
          <w:t xml:space="preserve">Формы</w:t>
        </w:r>
      </w:hyperlink>
      <w:r>
        <w:rPr>
          <w:sz w:val="20"/>
        </w:rP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 Федерации, органы местного самоуправления, вид контроля).</w:t>
      </w:r>
    </w:p>
    <w:p>
      <w:pPr>
        <w:pStyle w:val="0"/>
        <w:spacing w:before="200" w:line-rule="auto"/>
        <w:ind w:firstLine="540"/>
        <w:jc w:val="both"/>
      </w:pPr>
      <w:r>
        <w:rPr>
          <w:sz w:val="20"/>
        </w:rPr>
        <w:t xml:space="preserve">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pPr>
        <w:pStyle w:val="0"/>
        <w:spacing w:before="200" w:line-rule="auto"/>
        <w:ind w:firstLine="540"/>
        <w:jc w:val="both"/>
      </w:pPr>
      <w:r>
        <w:rPr>
          <w:sz w:val="20"/>
        </w:rPr>
        <w:t xml:space="preserve">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pPr>
        <w:pStyle w:val="0"/>
        <w:spacing w:before="200" w:line-rule="auto"/>
        <w:ind w:firstLine="540"/>
        <w:jc w:val="both"/>
      </w:pPr>
      <w:r>
        <w:rPr>
          <w:sz w:val="20"/>
        </w:rPr>
        <w:t xml:space="preserve">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
    <w:p>
      <w:pPr>
        <w:pStyle w:val="0"/>
        <w:spacing w:before="200" w:line-rule="auto"/>
        <w:ind w:firstLine="540"/>
        <w:jc w:val="both"/>
      </w:pPr>
      <w:r>
        <w:rPr>
          <w:sz w:val="20"/>
        </w:rPr>
        <w:t xml:space="preserve">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pPr>
        <w:pStyle w:val="0"/>
        <w:spacing w:before="200" w:line-rule="auto"/>
        <w:ind w:firstLine="540"/>
        <w:jc w:val="both"/>
      </w:pPr>
      <w:r>
        <w:rPr>
          <w:sz w:val="20"/>
        </w:rPr>
        <w:t xml:space="preserve">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pPr>
        <w:pStyle w:val="0"/>
        <w:spacing w:before="200" w:line-rule="auto"/>
        <w:ind w:firstLine="540"/>
        <w:jc w:val="both"/>
      </w:pPr>
      <w:r>
        <w:rPr>
          <w:sz w:val="20"/>
        </w:rPr>
        <w:t xml:space="preserve">4. 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w:history="0" r:id="rId12" w:tooltip="Постановление Правительства РФ от 25.08.2012 N 851 (ред. от 17.05.2022) &quot;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quot; (вместе с &quot;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quot;) {КонсультантПлюс}">
        <w:r>
          <w:rPr>
            <w:sz w:val="20"/>
            <w:color w:val="0000ff"/>
          </w:rPr>
          <w:t xml:space="preserve">Правилами</w:t>
        </w:r>
      </w:hyperlink>
      <w:r>
        <w:rPr>
          <w:sz w:val="20"/>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pPr>
        <w:pStyle w:val="0"/>
        <w:spacing w:before="200" w:line-rule="auto"/>
        <w:ind w:firstLine="540"/>
        <w:jc w:val="both"/>
      </w:pPr>
      <w:r>
        <w:rPr>
          <w:sz w:val="20"/>
        </w:rPr>
        <w:t xml:space="preserve">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pPr>
        <w:pStyle w:val="0"/>
        <w:spacing w:before="200" w:line-rule="auto"/>
        <w:ind w:firstLine="540"/>
        <w:jc w:val="both"/>
      </w:pPr>
      <w:r>
        <w:rPr>
          <w:sz w:val="20"/>
        </w:rPr>
        <w:t xml:space="preserve">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pPr>
        <w:pStyle w:val="0"/>
        <w:spacing w:before="200" w:line-rule="auto"/>
        <w:ind w:firstLine="540"/>
        <w:jc w:val="both"/>
      </w:pPr>
      <w:r>
        <w:rPr>
          <w:sz w:val="20"/>
        </w:rPr>
        <w:t xml:space="preserve">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pPr>
        <w:pStyle w:val="0"/>
        <w:spacing w:before="200" w:line-rule="auto"/>
        <w:ind w:firstLine="540"/>
        <w:jc w:val="both"/>
      </w:pPr>
      <w:r>
        <w:rPr>
          <w:sz w:val="20"/>
        </w:rPr>
        <w:t xml:space="preserve">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Форма проверочного листа включает:</w:t>
      </w:r>
    </w:p>
    <w:p>
      <w:pPr>
        <w:pStyle w:val="0"/>
        <w:spacing w:before="200" w:line-rule="auto"/>
        <w:ind w:firstLine="540"/>
        <w:jc w:val="both"/>
      </w:pPr>
      <w:r>
        <w:rPr>
          <w:sz w:val="20"/>
        </w:rPr>
        <w:t xml:space="preserve">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наименование контрольного (надзорного) органа и реквизиты нормативного правового акта об утверждении формы проверочного листа;</w:t>
      </w:r>
    </w:p>
    <w:bookmarkStart w:id="56" w:name="P56"/>
    <w:bookmarkEnd w:id="56"/>
    <w:p>
      <w:pPr>
        <w:pStyle w:val="0"/>
        <w:spacing w:before="200" w:line-rule="auto"/>
        <w:ind w:firstLine="540"/>
        <w:jc w:val="both"/>
      </w:pPr>
      <w:r>
        <w:rPr>
          <w:sz w:val="20"/>
        </w:rPr>
        <w:t xml:space="preserve">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pPr>
        <w:pStyle w:val="0"/>
        <w:spacing w:before="200" w:line-rule="auto"/>
        <w:ind w:firstLine="540"/>
        <w:jc w:val="both"/>
      </w:pPr>
      <w:r>
        <w:rPr>
          <w:sz w:val="20"/>
        </w:rPr>
        <w:t xml:space="preserve">г) графы, предусматривающие ответы "да", "нет", "неприменимо" на контрольные вопросы, указанные в </w:t>
      </w:r>
      <w:hyperlink w:history="0" w:anchor="P56" w:tooltip="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w:r>
          <w:rPr>
            <w:sz w:val="20"/>
            <w:color w:val="0000ff"/>
          </w:rPr>
          <w:t xml:space="preserve">подпункте "в"</w:t>
        </w:r>
      </w:hyperlink>
      <w:r>
        <w:rPr>
          <w:sz w:val="20"/>
        </w:rPr>
        <w:t xml:space="preserve"> настоящего пункта, а также графу "примечание". Графа "примечание" подлежит обязательному заполнению в случае заполнения графы "неприменимо";</w:t>
      </w:r>
    </w:p>
    <w:p>
      <w:pPr>
        <w:pStyle w:val="0"/>
        <w:spacing w:before="200" w:line-rule="auto"/>
        <w:ind w:firstLine="540"/>
        <w:jc w:val="both"/>
      </w:pPr>
      <w:r>
        <w:rPr>
          <w:sz w:val="20"/>
        </w:rPr>
        <w:t xml:space="preserve">д) соотнесенные со списком контрольных вопросов реквизиты нормативных правовых актов с указанием структурных единиц этих актов;</w:t>
      </w:r>
    </w:p>
    <w:p>
      <w:pPr>
        <w:pStyle w:val="0"/>
        <w:spacing w:before="200" w:line-rule="auto"/>
        <w:ind w:firstLine="540"/>
        <w:jc w:val="both"/>
      </w:pPr>
      <w:r>
        <w:rPr>
          <w:sz w:val="20"/>
        </w:rPr>
        <w:t xml:space="preserve">е) поля, предусматривающие внесение следующих сведений:</w:t>
      </w:r>
    </w:p>
    <w:p>
      <w:pPr>
        <w:pStyle w:val="0"/>
        <w:spacing w:before="200" w:line-rule="auto"/>
        <w:ind w:firstLine="540"/>
        <w:jc w:val="both"/>
      </w:pPr>
      <w:r>
        <w:rPr>
          <w:sz w:val="20"/>
        </w:rPr>
        <w:t xml:space="preserve">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pPr>
        <w:pStyle w:val="0"/>
        <w:spacing w:before="200" w:line-rule="auto"/>
        <w:ind w:firstLine="540"/>
        <w:jc w:val="both"/>
      </w:pPr>
      <w:r>
        <w:rPr>
          <w:sz w:val="20"/>
        </w:rPr>
        <w:t xml:space="preserve">дата заполнения проверочного листа;</w:t>
      </w:r>
    </w:p>
    <w:p>
      <w:pPr>
        <w:pStyle w:val="0"/>
        <w:spacing w:before="200" w:line-rule="auto"/>
        <w:ind w:firstLine="540"/>
        <w:jc w:val="both"/>
      </w:pPr>
      <w:r>
        <w:rPr>
          <w:sz w:val="20"/>
        </w:rPr>
        <w:t xml:space="preserve">объект государственного контроля (надзора), муниципального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pPr>
        <w:pStyle w:val="0"/>
        <w:spacing w:before="200" w:line-rule="auto"/>
        <w:ind w:firstLine="540"/>
        <w:jc w:val="both"/>
      </w:pPr>
      <w:r>
        <w:rPr>
          <w:sz w:val="20"/>
        </w:rPr>
        <w:t xml:space="preserve">место (места) проведения контрольного (надзорного) мероприятия с заполнением проверочного листа;</w:t>
      </w:r>
    </w:p>
    <w:p>
      <w:pPr>
        <w:pStyle w:val="0"/>
        <w:spacing w:before="200" w:line-rule="auto"/>
        <w:ind w:firstLine="540"/>
        <w:jc w:val="both"/>
      </w:pPr>
      <w:r>
        <w:rPr>
          <w:sz w:val="20"/>
        </w:rPr>
        <w:t xml:space="preserve">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pPr>
        <w:pStyle w:val="0"/>
        <w:spacing w:before="200" w:line-rule="auto"/>
        <w:ind w:firstLine="540"/>
        <w:jc w:val="both"/>
      </w:pPr>
      <w:r>
        <w:rPr>
          <w:sz w:val="20"/>
        </w:rPr>
        <w:t xml:space="preserve">учетный номер контрольного (надзорного) мероприятия;</w:t>
      </w:r>
    </w:p>
    <w:p>
      <w:pPr>
        <w:pStyle w:val="0"/>
        <w:spacing w:before="200" w:line-rule="auto"/>
        <w:ind w:firstLine="540"/>
        <w:jc w:val="both"/>
      </w:pPr>
      <w:r>
        <w:rPr>
          <w:sz w:val="20"/>
        </w:rPr>
        <w:t xml:space="preserve">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pPr>
        <w:pStyle w:val="0"/>
        <w:spacing w:before="200" w:line-rule="auto"/>
        <w:ind w:firstLine="540"/>
        <w:jc w:val="both"/>
      </w:pPr>
      <w:r>
        <w:rPr>
          <w:sz w:val="20"/>
        </w:rPr>
        <w:t xml:space="preserve">QR-код, расположенный в правом верхнем углу первой страницы формы проверочного листа, предусмотренный </w:t>
      </w:r>
      <w:hyperlink w:history="0" r:id="rId13"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постановлением</w:t>
        </w:r>
      </w:hyperlink>
      <w:r>
        <w:rPr>
          <w:sz w:val="20"/>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pPr>
        <w:pStyle w:val="0"/>
        <w:spacing w:before="200" w:line-rule="auto"/>
        <w:ind w:firstLine="540"/>
        <w:jc w:val="both"/>
      </w:pPr>
      <w:r>
        <w:rPr>
          <w:sz w:val="20"/>
        </w:rPr>
        <w:t xml:space="preserve">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pPr>
        <w:pStyle w:val="0"/>
        <w:spacing w:before="200" w:line-rule="auto"/>
        <w:ind w:firstLine="540"/>
        <w:jc w:val="both"/>
      </w:pPr>
      <w:r>
        <w:rPr>
          <w:sz w:val="20"/>
        </w:rP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w:history="0" r:id="rId1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1 статьи 16</w:t>
        </w:r>
      </w:hyperlink>
      <w:r>
        <w:rPr>
          <w:sz w:val="20"/>
        </w:rP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pPr>
        <w:pStyle w:val="0"/>
        <w:spacing w:before="200" w:line-rule="auto"/>
        <w:ind w:firstLine="540"/>
        <w:jc w:val="both"/>
      </w:pPr>
      <w:r>
        <w:rPr>
          <w:sz w:val="20"/>
        </w:rPr>
        <w:t xml:space="preserve">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В случае если положением о виде контроля предусмотрено проведение профилактических мероприятий в форме самообследования,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(самообследования).</w:t>
      </w:r>
    </w:p>
    <w:bookmarkStart w:id="73" w:name="P73"/>
    <w:bookmarkEnd w:id="73"/>
    <w:p>
      <w:pPr>
        <w:pStyle w:val="0"/>
        <w:spacing w:before="200" w:line-rule="auto"/>
        <w:ind w:firstLine="540"/>
        <w:jc w:val="both"/>
      </w:pPr>
      <w:r>
        <w:rPr>
          <w:sz w:val="20"/>
        </w:rPr>
        <w:t xml:space="preserve">10. Проверочные листы подлежат обязательному применению при осуществлении следующих плановых контрольных (надзорных) мероприятий:</w:t>
      </w:r>
    </w:p>
    <w:p>
      <w:pPr>
        <w:pStyle w:val="0"/>
        <w:spacing w:before="200" w:line-rule="auto"/>
        <w:ind w:firstLine="540"/>
        <w:jc w:val="both"/>
      </w:pPr>
      <w:r>
        <w:rPr>
          <w:sz w:val="20"/>
        </w:rPr>
        <w:t xml:space="preserve">а) рейдовый осмотр;</w:t>
      </w:r>
    </w:p>
    <w:p>
      <w:pPr>
        <w:pStyle w:val="0"/>
        <w:spacing w:before="200" w:line-rule="auto"/>
        <w:ind w:firstLine="540"/>
        <w:jc w:val="both"/>
      </w:pPr>
      <w:r>
        <w:rPr>
          <w:sz w:val="20"/>
        </w:rPr>
        <w:t xml:space="preserve">б) выездная проверка.</w:t>
      </w:r>
    </w:p>
    <w:p>
      <w:pPr>
        <w:pStyle w:val="0"/>
        <w:spacing w:before="200" w:line-rule="auto"/>
        <w:ind w:firstLine="540"/>
        <w:jc w:val="both"/>
      </w:pPr>
      <w:r>
        <w:rPr>
          <w:sz w:val="20"/>
        </w:rPr>
        <w:t xml:space="preserve">10(1). Требование, установленное </w:t>
      </w:r>
      <w:hyperlink w:history="0" w:anchor="P73" w:tooltip="10. Проверочные листы подлежат обязательному применению при осуществлении следующих плановых контрольных (надзорных) мероприятий:">
        <w:r>
          <w:rPr>
            <w:sz w:val="20"/>
            <w:color w:val="0000ff"/>
          </w:rPr>
          <w:t xml:space="preserve">пунктом 10</w:t>
        </w:r>
      </w:hyperlink>
      <w:r>
        <w:rPr>
          <w:sz w:val="20"/>
        </w:rPr>
        <w:t xml:space="preserve"> настоящего документа, не применяется при проведении плановых контрольных (надзорных) мероприятий на объектах контроля, в отношении которых установлен режим постоянного государственного контроля (надзора).</w:t>
      </w:r>
    </w:p>
    <w:p>
      <w:pPr>
        <w:pStyle w:val="0"/>
        <w:jc w:val="both"/>
      </w:pPr>
      <w:r>
        <w:rPr>
          <w:sz w:val="20"/>
        </w:rPr>
        <w:t xml:space="preserve">(п. 10(1) введен </w:t>
      </w:r>
      <w:hyperlink w:history="0" r:id="rId1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pPr>
        <w:pStyle w:val="0"/>
        <w:spacing w:before="200" w:line-rule="auto"/>
        <w:ind w:firstLine="540"/>
        <w:jc w:val="both"/>
      </w:pPr>
      <w:r>
        <w:rPr>
          <w:sz w:val="20"/>
        </w:rPr>
        <w:t xml:space="preserve">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bookmarkStart w:id="80" w:name="P80"/>
    <w:bookmarkEnd w:id="80"/>
    <w:p>
      <w:pPr>
        <w:pStyle w:val="0"/>
        <w:spacing w:before="200" w:line-rule="auto"/>
        <w:ind w:firstLine="540"/>
        <w:jc w:val="both"/>
      </w:pPr>
      <w:r>
        <w:rPr>
          <w:sz w:val="20"/>
        </w:rP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history="0" w:anchor="P73" w:tooltip="10. Проверочные листы подлежат обязательному применению при осуществлении следующих плановых контрольных (надзорных) мероприятий:">
        <w:r>
          <w:rPr>
            <w:sz w:val="20"/>
            <w:color w:val="0000ff"/>
          </w:rPr>
          <w:t xml:space="preserve">пунктом 10</w:t>
        </w:r>
      </w:hyperlink>
      <w:r>
        <w:rPr>
          <w:sz w:val="20"/>
        </w:rPr>
        <w:t xml:space="preserve">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pPr>
        <w:pStyle w:val="0"/>
        <w:spacing w:before="200" w:line-rule="auto"/>
        <w:ind w:firstLine="540"/>
        <w:jc w:val="both"/>
      </w:pPr>
      <w:r>
        <w:rPr>
          <w:sz w:val="20"/>
        </w:rPr>
        <w:t xml:space="preserve">При проведении контрольных (надзорных) мероприятий, предусмотренных </w:t>
      </w:r>
      <w:hyperlink w:history="0" w:anchor="P80" w:tooltip="12. Контрольный (надзорный) орган вправе применять проверочные листы при проведении плановых контрольных (надзорных) мероприятий, не предусмотренных пунктом 10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
        <w:r>
          <w:rPr>
            <w:sz w:val="20"/>
            <w:color w:val="0000ff"/>
          </w:rPr>
          <w:t xml:space="preserve">абзацем первым</w:t>
        </w:r>
      </w:hyperlink>
      <w:r>
        <w:rPr>
          <w:sz w:val="20"/>
        </w:rP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pPr>
        <w:pStyle w:val="0"/>
        <w:spacing w:before="200" w:line-rule="auto"/>
        <w:ind w:firstLine="540"/>
        <w:jc w:val="both"/>
      </w:pPr>
      <w:r>
        <w:rPr>
          <w:sz w:val="20"/>
        </w:rPr>
        <w:t xml:space="preserve">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27.10.2021 N 1844</w:t>
            <w:br/>
            <w:t>(ред. от 30.04.2022)</w:t>
            <w:br/>
            <w:t>"Об утверждении требований к разработке, содерж...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1D0BC4B3263E30A4929AB94F8C0FA1C4E7F8EE59B5944EA23BDA19F687F1338132D1C27F87BDEA4DF37A26D50AED7D0AB00302FE5064FDcAf4G" TargetMode = "External"/>
	<Relationship Id="rId8" Type="http://schemas.openxmlformats.org/officeDocument/2006/relationships/hyperlink" Target="consultantplus://offline/ref=D31D0BC4B3263E30A4929AB94F8C0FA1C3EEF7EE58B3944EA23BDA19F687F1338132D1C27F86B5EE4CF37A26D50AED7D0AB00302FE5064FDcAf4G" TargetMode = "External"/>
	<Relationship Id="rId9" Type="http://schemas.openxmlformats.org/officeDocument/2006/relationships/hyperlink" Target="consultantplus://offline/ref=D31D0BC4B3263E30A4929AB94F8C0FA1C4E7F8EE59B5944EA23BDA19F687F1338132D1C27F87BDEA4DF37A26D50AED7D0AB00302FE5064FDcAf4G" TargetMode = "External"/>
	<Relationship Id="rId10" Type="http://schemas.openxmlformats.org/officeDocument/2006/relationships/hyperlink" Target="consultantplus://offline/ref=D31D0BC4B3263E30A4929AB94F8C0FA1C3EEF7EE58B3944EA23BDA19F687F133933289CE7E84AAE945E62C7793c5fDG" TargetMode = "External"/>
	<Relationship Id="rId11" Type="http://schemas.openxmlformats.org/officeDocument/2006/relationships/hyperlink" Target="consultantplus://offline/ref=D31D0BC4B3263E30A4929AB94F8C0FA1C3E4FDEE5BB5944EA23BDA19F687F133933289CE7E84AAE945E62C7793c5fDG" TargetMode = "External"/>
	<Relationship Id="rId12" Type="http://schemas.openxmlformats.org/officeDocument/2006/relationships/hyperlink" Target="consultantplus://offline/ref=D31D0BC4B3263E30A4929AB94F8C0FA1C4E7F9EA51B1944EA23BDA19F687F1338132D1C27F87B4E84BF37A26D50AED7D0AB00302FE5064FDcAf4G" TargetMode = "External"/>
	<Relationship Id="rId13" Type="http://schemas.openxmlformats.org/officeDocument/2006/relationships/hyperlink" Target="consultantplus://offline/ref=D31D0BC4B3263E30A4929AB94F8C0FA1C4E4FAE25EBB944EA23BDA19F687F1338132D1C27785BFBD1DBC7B7A905CFE7C00B0010BE2c5f0G" TargetMode = "External"/>
	<Relationship Id="rId14" Type="http://schemas.openxmlformats.org/officeDocument/2006/relationships/hyperlink" Target="consultantplus://offline/ref=D31D0BC4B3263E30A4929AB94F8C0FA1C3EEF7EE58B3944EA23BDA19F687F1338132D1C27F87B5EF45F37A26D50AED7D0AB00302FE5064FDcAf4G" TargetMode = "External"/>
	<Relationship Id="rId15" Type="http://schemas.openxmlformats.org/officeDocument/2006/relationships/hyperlink" Target="consultantplus://offline/ref=D31D0BC4B3263E30A4929AB94F8C0FA1C4E7F8EE59B5944EA23BDA19F687F1338132D1C27F87BDEA4DF37A26D50AED7D0AB00302FE5064FDcAf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27.10.2021 N 1844
(ред. от 30.04.2022)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dc:title>
  <dcterms:created xsi:type="dcterms:W3CDTF">2022-09-13T06:31:26Z</dcterms:created>
</cp:coreProperties>
</file>