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Теперь налоговый орган вправе прекратить начисление налога в отношении объекта недвижимости на основании заявления налогоплательщика о гибели или уничтожении объекта.</w:t>
      </w:r>
    </w:p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общему правилу налог на имущество исчисляется на основании сведений из ЕГРН, представленных в налоговые органы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 гибели (уничтожение) объекта является основанием для снятия его с государственного кадастрового учета с внесением об этом записи в ЕГРН. Подтверждением данного факта является акт обследования, проведенного кадастровым инженером по месту нахождения объекта недвижимого имущества.</w:t>
      </w:r>
    </w:p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сведения о снятии объекта с кадастрового учета (о </w:t>
      </w:r>
      <w:proofErr w:type="spellStart"/>
      <w:r>
        <w:rPr>
          <w:rFonts w:ascii="Times New Roman" w:hAnsi="Times New Roman" w:cs="Times New Roman"/>
          <w:sz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</w:rPr>
        <w:t xml:space="preserve"> прекращения права на такой объект и расположенные в нем помещения), передаются в налоговые органы.</w:t>
      </w:r>
    </w:p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процедура может занять довольно продолжительный период времени, в течение которого налог на имущество будет продолжать начисляться.</w:t>
      </w:r>
    </w:p>
    <w:p w:rsidR="00014F39" w:rsidRDefault="00014F39" w:rsidP="00014F3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Верховный Суд РФ в Определении от 20.09.2018 N 305-КГ18-9064 указал, что налогообложение прекратившего существование объекта недвижимости является неправомерным, независимо от момента снятия такого объекта с кадастрового учета и государственной регистрации прекращения права на него.</w:t>
      </w:r>
    </w:p>
    <w:p w:rsidR="00014F39" w:rsidRDefault="00014F39" w:rsidP="00014F3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этой связи следует, что наряду с общим основанием для прекращения исчисления налога, в качестве дополнительного основания налоговым органом может рассматриваться заявление налогоплательщика (его представителя), содержащее информацию о гибели или уничтожении объекта, и документы, подтверждающие данный факт.</w:t>
      </w: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6"/>
    <w:rsid w:val="00014F39"/>
    <w:rsid w:val="00057B20"/>
    <w:rsid w:val="009B1D4C"/>
    <w:rsid w:val="00EE417F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2018-12-21T03:43:00Z</dcterms:created>
  <dcterms:modified xsi:type="dcterms:W3CDTF">2018-12-21T03:43:00Z</dcterms:modified>
</cp:coreProperties>
</file>